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5_3304594495"/>
      <w:bookmarkStart w:id="1" w:name="_GoBack"/>
      <w:r>
        <w:rPr>
          <w:b/>
          <w:bCs/>
          <w:i/>
          <w:iCs/>
          <w:lang w:val="en-US"/>
        </w:rPr>
        <w:t>SPONSORS AND SUPPORTING INSTITUTIONS</w:t>
      </w:r>
      <w:bookmarkEnd w:id="0"/>
      <w:bookmarkEnd w:id="1"/>
      <w:r>
        <w:rPr>
          <w:b/>
          <w:bCs/>
          <w:i/>
          <w:iCs/>
          <w:lang w:val="en-US"/>
        </w:rPr>
        <w:t xml:space="preserve">: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The Federal Agency for Scientific Organizations (FASO Russia)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Russian Scientific Foundationi, Russia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Russian Foundation for Basic Research, Russia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Moscow State University named by M. V. Lomonosov, Federal state budgetary scientific institution "All-Russian research Institute of Phytopathology", Grodno State Agrarian University (Grodno, Belarus), Peter the Great St.-Petersburg Polytechnic University, Orel State Agrarian University them. N. In. Parahina, Gorsky State Agrarian University, Novosibirsk State Agrarian University, Russian State Agrarian University -MAA named after. G. A. Timiryazev , and Kalmar Municipality (Sweden), Swedish International Developement Cooperation Agency - Baltic Sea Unit (Sida), Sweden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The Swedish Royal Academy of Engineering Sciences (IVA), Sweden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AB Gustaf Kahr, Sweden </w:t>
      </w:r>
    </w:p>
    <w:p>
      <w:pPr>
        <w:pStyle w:val="Normal"/>
        <w:rPr>
          <w:lang w:val="en-US"/>
        </w:rPr>
      </w:pPr>
      <w:r>
        <w:rPr>
          <w:b/>
          <w:bCs/>
          <w:i/>
          <w:iCs/>
          <w:lang w:val="en-US"/>
        </w:rPr>
        <w:t xml:space="preserve">The Regional Council of Kalmar County,Sweden </w:t>
      </w:r>
    </w:p>
    <w:p>
      <w:pPr>
        <w:pStyle w:val="Normal"/>
        <w:rPr/>
      </w:pPr>
      <w:r>
        <w:rPr>
          <w:b/>
          <w:bCs/>
          <w:i/>
          <w:iCs/>
        </w:rPr>
        <w:t xml:space="preserve">Linnaeus University, Sweden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i/>
          <w:iCs/>
        </w:rPr>
        <w:t>The Swedish Institute, Sweden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LibreOffice/5.4.0.3$Linux_X86_64 LibreOffice_project/40m0$Build-3</Application>
  <Pages>1</Pages>
  <Words>120</Words>
  <Characters>830</Characters>
  <CharactersWithSpaces>949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2017-08-21T23:04:00Z</dcterms:created>
  <dc:creator>User XP</dc:creator>
  <dc:description/>
  <dc:language>ru-RU</dc:language>
  <cp:lastModifiedBy/>
  <dcterms:modified xsi:type="dcterms:W3CDTF">2017-09-06T10:10:51Z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